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20" w:before="12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Разрешенные к использованию средства обучения и воспитания на экзамене </w:t>
      </w:r>
    </w:p>
    <w:p w:rsidR="00000000" w:rsidDel="00000000" w:rsidP="00000000" w:rsidRDefault="00000000" w:rsidRPr="00000000" w14:paraId="00000001">
      <w:pPr>
        <w:widowControl w:val="0"/>
        <w:spacing w:after="120" w:before="12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форме ОГЭ</w:t>
      </w:r>
    </w:p>
    <w:tbl>
      <w:tblPr>
        <w:tblStyle w:val="Table1"/>
        <w:tblW w:w="103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5"/>
        <w:gridCol w:w="5387"/>
        <w:gridCol w:w="2492"/>
        <w:tblGridChange w:id="0">
          <w:tblGrid>
            <w:gridCol w:w="2495"/>
            <w:gridCol w:w="5387"/>
            <w:gridCol w:w="249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Учебный предмет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Перечень разрешенных к использованию средств обучения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ППЭ/ОО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 ОГЭ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Лабораторное оборудование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для выполнения экспериментального задания по проведению измерений физических величин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Линейка, непрограммируемый калькулятор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</w:t>
            </w:r>
            <w:r w:rsidDel="00000000" w:rsidR="00000000" w:rsidRPr="00000000">
              <w:rPr>
                <w:i w:val="1"/>
                <w:rtl w:val="0"/>
              </w:rPr>
              <w:t xml:space="preserve">(в ИК участника в тексте КИМ)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Непрограммируемый калькулятор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Линейка, непрограммируемый калькулятор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используются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120" w:before="120" w:lineRule="auto"/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Разрешенные к использованию средства обучения и воспитания на экзамене </w:t>
      </w:r>
    </w:p>
    <w:p w:rsidR="00000000" w:rsidDel="00000000" w:rsidP="00000000" w:rsidRDefault="00000000" w:rsidRPr="00000000" w14:paraId="00000015">
      <w:pPr>
        <w:widowControl w:val="0"/>
        <w:spacing w:after="120" w:before="12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форме ГВЭ (письменная форма) </w:t>
      </w:r>
    </w:p>
    <w:tbl>
      <w:tblPr>
        <w:tblStyle w:val="Table2"/>
        <w:tblW w:w="103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6"/>
        <w:gridCol w:w="5387"/>
        <w:gridCol w:w="2504"/>
        <w:tblGridChange w:id="0">
          <w:tblGrid>
            <w:gridCol w:w="2506"/>
            <w:gridCol w:w="5387"/>
            <w:gridCol w:w="250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Учебный предмет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9356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Перечень разрешенных к использованию средств обучения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ППЭ/ОО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 ГВЭ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Линейка, непрограммируемый калькулятор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</w:t>
            </w:r>
            <w:r w:rsidDel="00000000" w:rsidR="00000000" w:rsidRPr="00000000">
              <w:rPr>
                <w:i w:val="1"/>
                <w:rtl w:val="0"/>
              </w:rPr>
              <w:t xml:space="preserve">(в комплекте ЭМ)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Непрограммируемый калькулятор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9356"/>
              </w:tabs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Линейка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9356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9356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используются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2"/>
          <w:szCs w:val="22"/>
          <w:rtl w:val="0"/>
        </w:rPr>
        <w:t xml:space="preserve"> Обеспечивающий выполнение арифметических вычислений (сложение, вычитание, умножение, деление,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3665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note text"/>
    <w:basedOn w:val="a"/>
    <w:link w:val="a4"/>
    <w:uiPriority w:val="99"/>
    <w:rsid w:val="00136650"/>
    <w:rPr>
      <w:rFonts w:eastAsia="Calibri"/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rsid w:val="00136650"/>
    <w:rPr>
      <w:rFonts w:ascii="Times New Roman" w:cs="Times New Roman" w:eastAsia="Calibri" w:hAnsi="Times New Roman"/>
      <w:sz w:val="20"/>
      <w:szCs w:val="20"/>
      <w:lang w:eastAsia="ru-RU"/>
    </w:rPr>
  </w:style>
  <w:style w:type="character" w:styleId="a5">
    <w:name w:val="footnote reference"/>
    <w:uiPriority w:val="99"/>
    <w:rsid w:val="00136650"/>
    <w:rPr>
      <w:rFonts w:ascii="Times New Roman" w:cs="Times New Roman" w:hAnsi="Times New Roman"/>
      <w:sz w:val="22"/>
      <w:szCs w:val="22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